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7B5B" w14:textId="77777777" w:rsidR="00950869" w:rsidRPr="00950869" w:rsidRDefault="00950869" w:rsidP="00157AB3">
      <w:pPr>
        <w:jc w:val="center"/>
        <w:rPr>
          <w:b/>
          <w:sz w:val="28"/>
          <w:szCs w:val="28"/>
        </w:rPr>
      </w:pPr>
      <w:r w:rsidRPr="00950869">
        <w:rPr>
          <w:rFonts w:hint="eastAsia"/>
          <w:b/>
          <w:sz w:val="28"/>
          <w:szCs w:val="28"/>
        </w:rPr>
        <w:t>《献血不良反应分类指南》解读</w:t>
      </w:r>
    </w:p>
    <w:p w14:paraId="31C52A07" w14:textId="77777777" w:rsidR="00950869" w:rsidRDefault="00950869" w:rsidP="001B79E3">
      <w:pPr>
        <w:rPr>
          <w:b/>
          <w:szCs w:val="21"/>
        </w:rPr>
      </w:pPr>
    </w:p>
    <w:p w14:paraId="73EA0B75" w14:textId="77777777" w:rsidR="001B79E3" w:rsidRDefault="00950869" w:rsidP="001B79E3">
      <w:pPr>
        <w:ind w:firstLineChars="201" w:firstLine="422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献血相关不良反应客观存在，有一定发生概率，给献血者和血液机构均带</w:t>
      </w:r>
      <w:bookmarkStart w:id="0" w:name="_GoBack"/>
      <w:bookmarkEnd w:id="0"/>
      <w:r>
        <w:rPr>
          <w:rFonts w:ascii="宋体" w:hAnsi="宋体" w:hint="eastAsia"/>
          <w:bCs/>
          <w:szCs w:val="21"/>
        </w:rPr>
        <w:t>来不利影响。如果预防和处置措施得当，可以降低献血不良反应的发生率和减轻献血不良反应的严重程度。因此,为保护献血者的健康和安全，《血站质量管理规范》规定，血站“应建立和实施献血不良反应的预防和处理程序，包括献血不良反应的预防、观察、处理、记录、报告、评价和随访，以正确处理和减少献血不良反应”。</w:t>
      </w:r>
      <w:r>
        <w:rPr>
          <w:rFonts w:ascii="宋体" w:hAnsi="宋体" w:hint="eastAsia"/>
          <w:color w:val="333333"/>
          <w:szCs w:val="21"/>
        </w:rPr>
        <w:t>但是，我国目前还没有关于献血不良反应的分类和定义的基础性标准，使得难以对其进行系统监控和持续改进。因此，本指南的制定与实施将使在国家水平上统一</w:t>
      </w:r>
      <w:r>
        <w:rPr>
          <w:rFonts w:ascii="宋体" w:hAnsi="宋体" w:hint="eastAsia"/>
          <w:bCs/>
          <w:szCs w:val="21"/>
        </w:rPr>
        <w:t>研究</w:t>
      </w:r>
      <w:r>
        <w:rPr>
          <w:rFonts w:ascii="宋体" w:hAnsi="宋体" w:hint="eastAsia"/>
          <w:color w:val="333333"/>
          <w:szCs w:val="21"/>
        </w:rPr>
        <w:t>和制定献血不良反应的防控措施成为可能,为献血者安全保障工作的进一步改进和提升奠定基础。</w:t>
      </w:r>
    </w:p>
    <w:p w14:paraId="74C67B31" w14:textId="77777777" w:rsidR="00950869" w:rsidRPr="001B79E3" w:rsidRDefault="00950869" w:rsidP="001B79E3">
      <w:pPr>
        <w:ind w:firstLineChars="201" w:firstLine="422"/>
        <w:rPr>
          <w:rFonts w:ascii="宋体" w:hAnsi="宋体"/>
          <w:szCs w:val="21"/>
        </w:rPr>
      </w:pPr>
      <w:r>
        <w:rPr>
          <w:rFonts w:hint="eastAsia"/>
          <w:szCs w:val="21"/>
        </w:rPr>
        <w:t>本指南采用了国际输血协会</w:t>
      </w:r>
      <w:r>
        <w:rPr>
          <w:rFonts w:ascii="宋体" w:hAnsi="宋体" w:hint="eastAsia"/>
          <w:bCs/>
          <w:szCs w:val="21"/>
        </w:rPr>
        <w:t xml:space="preserve">血液安全监测工作委员会和献血者安全监测工作组( Working Group on Donor Vigilance of the International Society of Blood Transfusion，Working Party on </w:t>
      </w:r>
      <w:proofErr w:type="spellStart"/>
      <w:r>
        <w:rPr>
          <w:rFonts w:ascii="宋体" w:hAnsi="宋体" w:hint="eastAsia"/>
          <w:bCs/>
          <w:szCs w:val="21"/>
        </w:rPr>
        <w:t>Haemovigilance</w:t>
      </w:r>
      <w:proofErr w:type="spellEnd"/>
      <w:r>
        <w:rPr>
          <w:rFonts w:ascii="宋体" w:hAnsi="宋体" w:hint="eastAsia"/>
          <w:bCs/>
          <w:szCs w:val="21"/>
        </w:rPr>
        <w:t xml:space="preserve">)、国际血液安全监测网络( The International </w:t>
      </w:r>
      <w:proofErr w:type="spellStart"/>
      <w:r>
        <w:rPr>
          <w:rFonts w:ascii="宋体" w:hAnsi="宋体" w:hint="eastAsia"/>
          <w:bCs/>
          <w:szCs w:val="21"/>
        </w:rPr>
        <w:t>Haemovigilance</w:t>
      </w:r>
      <w:proofErr w:type="spellEnd"/>
      <w:r>
        <w:rPr>
          <w:rFonts w:ascii="宋体" w:hAnsi="宋体" w:hint="eastAsia"/>
          <w:bCs/>
          <w:szCs w:val="21"/>
        </w:rPr>
        <w:t xml:space="preserve"> Network)、美国AABB 献血者安全监测工作组( The AABB Donor </w:t>
      </w:r>
      <w:proofErr w:type="spellStart"/>
      <w:r>
        <w:rPr>
          <w:rFonts w:ascii="宋体" w:hAnsi="宋体" w:hint="eastAsia"/>
          <w:bCs/>
          <w:szCs w:val="21"/>
        </w:rPr>
        <w:t>Haemovigilance</w:t>
      </w:r>
      <w:proofErr w:type="spellEnd"/>
      <w:r>
        <w:rPr>
          <w:rFonts w:ascii="宋体" w:hAnsi="宋体" w:hint="eastAsia"/>
          <w:bCs/>
          <w:szCs w:val="21"/>
        </w:rPr>
        <w:t xml:space="preserve"> Working Group )、欧洲血液联盟( The European Blood Alliance)  共同签署的</w:t>
      </w:r>
      <w:r>
        <w:rPr>
          <w:rFonts w:hint="eastAsia"/>
          <w:szCs w:val="21"/>
        </w:rPr>
        <w:t>《献血不良反应监测标准》（</w:t>
      </w:r>
      <w:r>
        <w:rPr>
          <w:szCs w:val="21"/>
        </w:rPr>
        <w:t>2014</w:t>
      </w:r>
      <w:r>
        <w:rPr>
          <w:rFonts w:hint="eastAsia"/>
          <w:szCs w:val="21"/>
        </w:rPr>
        <w:t>年版）中的献血不良反应的分类和定义、</w:t>
      </w:r>
      <w:r>
        <w:rPr>
          <w:rFonts w:hint="eastAsia"/>
        </w:rPr>
        <w:t>严重程度分级和相关性评估的指导意见，献血不良反应的主要分类见</w:t>
      </w:r>
      <w:r>
        <w:rPr>
          <w:rFonts w:hint="eastAsia"/>
          <w:szCs w:val="21"/>
        </w:rPr>
        <w:t>附表。</w:t>
      </w:r>
      <w:r>
        <w:rPr>
          <w:szCs w:val="21"/>
        </w:rPr>
        <w:t xml:space="preserve"> </w:t>
      </w:r>
    </w:p>
    <w:tbl>
      <w:tblPr>
        <w:tblW w:w="7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276"/>
        <w:gridCol w:w="1135"/>
        <w:gridCol w:w="2553"/>
      </w:tblGrid>
      <w:tr w:rsidR="00950869" w14:paraId="7101A752" w14:textId="77777777" w:rsidTr="00950869">
        <w:trPr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D70F205" w14:textId="77777777" w:rsidR="00950869" w:rsidRDefault="00950869" w:rsidP="001B79E3">
            <w:pPr>
              <w:adjustRightInd w:val="0"/>
              <w:snapToGrid w:val="0"/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黑体" w:eastAsia="黑体" w:hAnsi="黑体" w:hint="eastAsia"/>
              </w:rPr>
              <w:t>附表</w:t>
            </w:r>
            <w:r>
              <w:t xml:space="preserve">  </w:t>
            </w:r>
            <w:r>
              <w:rPr>
                <w:rFonts w:hint="eastAsia"/>
              </w:rPr>
              <w:t>献血不良反应分类一览表</w:t>
            </w:r>
          </w:p>
        </w:tc>
      </w:tr>
      <w:tr w:rsidR="00950869" w14:paraId="2DB67829" w14:textId="77777777" w:rsidTr="00950869">
        <w:trPr>
          <w:jc w:val="center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77CD838" w14:textId="77777777" w:rsidR="00950869" w:rsidRDefault="00950869" w:rsidP="001B79E3">
            <w:pPr>
              <w:adjustRightInd w:val="0"/>
              <w:snapToGrid w:val="0"/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</w:rPr>
              <w:t>组别</w:t>
            </w:r>
          </w:p>
        </w:tc>
        <w:tc>
          <w:tcPr>
            <w:tcW w:w="49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FB7AF" w14:textId="77777777" w:rsidR="00950869" w:rsidRDefault="00950869" w:rsidP="001B79E3">
            <w:pPr>
              <w:adjustRightInd w:val="0"/>
              <w:snapToGrid w:val="0"/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sz w:val="18"/>
              </w:rPr>
              <w:t>亚组</w:t>
            </w:r>
          </w:p>
        </w:tc>
      </w:tr>
      <w:tr w:rsidR="00950869" w14:paraId="27515CA6" w14:textId="77777777" w:rsidTr="00950869">
        <w:trPr>
          <w:jc w:val="center"/>
        </w:trPr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9097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局部表现（Ⅰ组）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C692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穿刺部位出血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D5C772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血肿</w:t>
            </w:r>
          </w:p>
        </w:tc>
      </w:tr>
      <w:tr w:rsidR="00950869" w14:paraId="4B172B22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05EC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BA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ACF3F1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刺入动脉</w:t>
            </w:r>
          </w:p>
        </w:tc>
      </w:tr>
      <w:tr w:rsidR="00950869" w14:paraId="7F704481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53C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F7D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2F0F71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迟发型出血</w:t>
            </w:r>
          </w:p>
        </w:tc>
      </w:tr>
      <w:tr w:rsidR="00950869" w14:paraId="66733586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CA1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7863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疼痛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6E3F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部位特定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15192B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神经刺激</w:t>
            </w:r>
          </w:p>
        </w:tc>
      </w:tr>
      <w:tr w:rsidR="00950869" w14:paraId="6A5328DB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4AA4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642C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9B9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37A9A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神经损伤</w:t>
            </w:r>
          </w:p>
        </w:tc>
      </w:tr>
      <w:tr w:rsidR="00950869" w14:paraId="48AD6475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3B45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7425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A47C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53D209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肌腱损伤</w:t>
            </w:r>
          </w:p>
        </w:tc>
      </w:tr>
      <w:tr w:rsidR="00950869" w14:paraId="1D96132B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C2DB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2A0C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3B5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部位不定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4DD2F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手臂疼痛</w:t>
            </w:r>
          </w:p>
        </w:tc>
      </w:tr>
      <w:tr w:rsidR="00950869" w14:paraId="185C9A15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09DA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0A1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18C8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血栓性静脉炎</w:t>
            </w:r>
          </w:p>
        </w:tc>
      </w:tr>
      <w:tr w:rsidR="00950869" w14:paraId="1CF5C656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0FC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6B8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3BC25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局部皮肤过敏</w:t>
            </w:r>
          </w:p>
        </w:tc>
      </w:tr>
      <w:tr w:rsidR="00950869" w14:paraId="72CA692A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A47D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21AF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5FAFB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局部感染</w:t>
            </w:r>
          </w:p>
        </w:tc>
      </w:tr>
      <w:tr w:rsidR="00950869" w14:paraId="786AA9C8" w14:textId="77777777" w:rsidTr="00950869">
        <w:trPr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655F" w14:textId="77777777" w:rsidR="00950869" w:rsidRDefault="00950869" w:rsidP="001B79E3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全身表现（Ⅱ组）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C3C1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血管迷走神经反应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049F94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晕厥</w:t>
            </w:r>
          </w:p>
        </w:tc>
      </w:tr>
      <w:tr w:rsidR="00950869" w14:paraId="38B7989F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66A0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E377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C0FD1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无晕厥</w:t>
            </w:r>
          </w:p>
        </w:tc>
      </w:tr>
      <w:tr w:rsidR="00950869" w14:paraId="4A1BAC54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E17A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FDBA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6C4E0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损伤</w:t>
            </w:r>
          </w:p>
        </w:tc>
      </w:tr>
      <w:tr w:rsidR="00950869" w14:paraId="7043A52C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DC06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8CED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A2328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无损伤</w:t>
            </w:r>
          </w:p>
        </w:tc>
      </w:tr>
      <w:tr w:rsidR="00950869" w14:paraId="77424ECC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7BB2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5F77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D1F31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当场（在献血现场发生）</w:t>
            </w:r>
          </w:p>
        </w:tc>
      </w:tr>
      <w:tr w:rsidR="00950869" w14:paraId="5C011523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A8F" w14:textId="77777777" w:rsidR="00950869" w:rsidRDefault="00950869" w:rsidP="001B79E3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52EE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E4C46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离场（离开献血现场后发生）</w:t>
            </w:r>
          </w:p>
        </w:tc>
      </w:tr>
      <w:tr w:rsidR="00950869" w14:paraId="5617EFD1" w14:textId="77777777" w:rsidTr="00950869">
        <w:trPr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94B549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机采血液成分（Ⅲ组）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FB75A1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int="eastAsia"/>
                <w:bCs/>
                <w:sz w:val="18"/>
              </w:rPr>
              <w:t>机采血液成分相关不良反应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DC7F98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枸橼酸盐反应</w:t>
            </w:r>
          </w:p>
        </w:tc>
      </w:tr>
      <w:tr w:rsidR="00950869" w14:paraId="0D3AC763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57F9AB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11FFAC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8A2859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溶血反应</w:t>
            </w:r>
          </w:p>
        </w:tc>
      </w:tr>
      <w:tr w:rsidR="00950869" w14:paraId="0A692688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FFC768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19B3A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CCD9E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全身性过敏反应</w:t>
            </w:r>
          </w:p>
        </w:tc>
      </w:tr>
      <w:tr w:rsidR="00950869" w14:paraId="7EF25133" w14:textId="77777777" w:rsidTr="00950869">
        <w:trPr>
          <w:jc w:val="center"/>
        </w:trPr>
        <w:tc>
          <w:tcPr>
            <w:tcW w:w="22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F7D3E5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88E3A4" w14:textId="77777777" w:rsidR="00950869" w:rsidRDefault="00950869" w:rsidP="001B79E3">
            <w:pPr>
              <w:widowControl/>
              <w:jc w:val="left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1D057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空气栓塞</w:t>
            </w:r>
          </w:p>
        </w:tc>
      </w:tr>
      <w:tr w:rsidR="00950869" w14:paraId="411D5F08" w14:textId="77777777" w:rsidTr="00950869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1220930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其他（Ⅳ组）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C7536D" w14:textId="77777777" w:rsidR="00950869" w:rsidRDefault="00950869" w:rsidP="001B79E3">
            <w:pPr>
              <w:adjustRightInd w:val="0"/>
              <w:snapToGrid w:val="0"/>
              <w:rPr>
                <w:rFonts w:ascii="宋体"/>
                <w:sz w:val="18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84008" w14:textId="77777777" w:rsidR="00950869" w:rsidRDefault="00950869" w:rsidP="001B79E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ED38482" w14:textId="77777777" w:rsidR="00950869" w:rsidRPr="00950869" w:rsidRDefault="00950869" w:rsidP="001B79E3"/>
    <w:sectPr w:rsidR="00950869" w:rsidRPr="00950869" w:rsidSect="00983296">
      <w:pgSz w:w="11906" w:h="16838" w:code="9"/>
      <w:pgMar w:top="2098" w:right="1474" w:bottom="1985" w:left="1588" w:header="851" w:footer="992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04BB"/>
    <w:multiLevelType w:val="hybridMultilevel"/>
    <w:tmpl w:val="1D50D02A"/>
    <w:lvl w:ilvl="0" w:tplc="44B2D05E">
      <w:start w:val="1"/>
      <w:numFmt w:val="decimal"/>
      <w:lvlText w:val="%1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9453130"/>
    <w:multiLevelType w:val="hybridMultilevel"/>
    <w:tmpl w:val="260E294C"/>
    <w:lvl w:ilvl="0" w:tplc="E5FA5794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9"/>
    <w:rsid w:val="00157AB3"/>
    <w:rsid w:val="001B79E3"/>
    <w:rsid w:val="00200053"/>
    <w:rsid w:val="00322F7A"/>
    <w:rsid w:val="0045118F"/>
    <w:rsid w:val="004B181B"/>
    <w:rsid w:val="00764614"/>
    <w:rsid w:val="00950869"/>
    <w:rsid w:val="00983296"/>
    <w:rsid w:val="00A80F3B"/>
    <w:rsid w:val="00B31E0A"/>
    <w:rsid w:val="00C75989"/>
    <w:rsid w:val="00F81B45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1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basedOn w:val="a0"/>
    <w:link w:val="a3"/>
    <w:locked/>
    <w:rsid w:val="00A80F3B"/>
    <w:rPr>
      <w:rFonts w:ascii="宋体" w:eastAsia="宋体" w:hAnsi="宋体"/>
      <w:noProof/>
    </w:rPr>
  </w:style>
  <w:style w:type="paragraph" w:customStyle="1" w:styleId="a3">
    <w:name w:val="段"/>
    <w:link w:val="Char"/>
    <w:rsid w:val="00A80F3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145</Words>
  <Characters>831</Characters>
  <Application>Microsoft Macintosh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</dc:creator>
  <cp:lastModifiedBy>张云</cp:lastModifiedBy>
  <cp:revision>6</cp:revision>
  <dcterms:created xsi:type="dcterms:W3CDTF">2017-10-23T01:28:00Z</dcterms:created>
  <dcterms:modified xsi:type="dcterms:W3CDTF">2017-10-23T11:07:00Z</dcterms:modified>
</cp:coreProperties>
</file>