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6A" w:rsidRDefault="000B024E">
      <w:pPr>
        <w:snapToGrid w:val="0"/>
        <w:spacing w:line="360" w:lineRule="auto"/>
        <w:jc w:val="center"/>
        <w:rPr>
          <w:rFonts w:asciiTheme="minorEastAsia" w:eastAsiaTheme="minorEastAsia" w:hAnsiTheme="minorEastAsia" w:cs="楷体_GB2312"/>
          <w:b/>
          <w:bCs/>
          <w:sz w:val="32"/>
          <w:szCs w:val="32"/>
        </w:rPr>
      </w:pPr>
      <w:r>
        <w:rPr>
          <w:rFonts w:asciiTheme="minorEastAsia" w:eastAsiaTheme="minorEastAsia" w:hAnsiTheme="minorEastAsia" w:cs="楷体_GB2312" w:hint="eastAsia"/>
          <w:b/>
          <w:bCs/>
          <w:sz w:val="32"/>
          <w:szCs w:val="32"/>
        </w:rPr>
        <w:t>《</w:t>
      </w:r>
      <w:r w:rsidR="005B4087" w:rsidRPr="005B4087">
        <w:rPr>
          <w:rFonts w:asciiTheme="minorEastAsia" w:eastAsiaTheme="minorEastAsia" w:hAnsiTheme="minorEastAsia" w:cs="楷体_GB2312" w:hint="eastAsia"/>
          <w:b/>
          <w:sz w:val="32"/>
          <w:szCs w:val="32"/>
        </w:rPr>
        <w:t>血细胞分析参考区间</w:t>
      </w:r>
      <w:r>
        <w:rPr>
          <w:rFonts w:asciiTheme="minorEastAsia" w:eastAsiaTheme="minorEastAsia" w:hAnsiTheme="minorEastAsia" w:cs="楷体_GB2312" w:hint="eastAsia"/>
          <w:b/>
          <w:bCs/>
          <w:sz w:val="32"/>
          <w:szCs w:val="32"/>
        </w:rPr>
        <w:t>》标准解读</w:t>
      </w:r>
    </w:p>
    <w:p w:rsidR="00427771" w:rsidRDefault="00427771" w:rsidP="00427771">
      <w:pPr>
        <w:snapToGrid w:val="0"/>
        <w:spacing w:line="288" w:lineRule="auto"/>
        <w:rPr>
          <w:rFonts w:asciiTheme="minorEastAsia" w:eastAsiaTheme="minorEastAsia" w:hAnsiTheme="minorEastAsia" w:cs="楷体_GB2312"/>
          <w:b/>
          <w:bCs/>
          <w:sz w:val="28"/>
          <w:szCs w:val="28"/>
        </w:rPr>
      </w:pPr>
      <w:r>
        <w:rPr>
          <w:rFonts w:asciiTheme="minorEastAsia" w:eastAsiaTheme="minorEastAsia" w:hAnsiTheme="minorEastAsia" w:cs="楷体_GB2312" w:hint="eastAsia"/>
          <w:b/>
          <w:bCs/>
          <w:sz w:val="28"/>
          <w:szCs w:val="28"/>
        </w:rPr>
        <w:t>一、建立</w:t>
      </w:r>
      <w:r w:rsidR="007866D0">
        <w:rPr>
          <w:rFonts w:asciiTheme="minorEastAsia" w:eastAsiaTheme="minorEastAsia" w:hAnsiTheme="minorEastAsia" w:cs="楷体_GB2312" w:hint="eastAsia"/>
          <w:b/>
          <w:bCs/>
          <w:sz w:val="28"/>
          <w:szCs w:val="28"/>
        </w:rPr>
        <w:t>血细胞分析</w:t>
      </w:r>
      <w:r>
        <w:rPr>
          <w:rFonts w:asciiTheme="minorEastAsia" w:eastAsiaTheme="minorEastAsia" w:hAnsiTheme="minorEastAsia" w:cs="楷体_GB2312" w:hint="eastAsia"/>
          <w:b/>
          <w:bCs/>
          <w:sz w:val="28"/>
          <w:szCs w:val="28"/>
        </w:rPr>
        <w:t>项目参考区间的背景、意义</w:t>
      </w:r>
    </w:p>
    <w:p w:rsidR="002D716A" w:rsidRDefault="000B024E">
      <w:pPr>
        <w:snapToGrid w:val="0"/>
        <w:spacing w:line="288" w:lineRule="auto"/>
        <w:rPr>
          <w:rFonts w:asciiTheme="minorEastAsia" w:eastAsiaTheme="minorEastAsia" w:hAnsiTheme="minorEastAsia" w:cs="楷体_GB2312"/>
          <w:sz w:val="28"/>
          <w:szCs w:val="28"/>
        </w:rPr>
      </w:pPr>
      <w:r>
        <w:rPr>
          <w:rFonts w:asciiTheme="minorEastAsia" w:eastAsiaTheme="minorEastAsia" w:hAnsiTheme="minorEastAsia" w:cs="楷体_GB2312" w:hint="eastAsia"/>
          <w:sz w:val="28"/>
          <w:szCs w:val="28"/>
        </w:rPr>
        <w:t xml:space="preserve">    </w:t>
      </w:r>
      <w:r w:rsidR="007866D0">
        <w:rPr>
          <w:rFonts w:asciiTheme="minorEastAsia" w:eastAsiaTheme="minorEastAsia" w:hAnsiTheme="minorEastAsia" w:cs="楷体_GB2312" w:hint="eastAsia"/>
          <w:sz w:val="28"/>
          <w:szCs w:val="28"/>
        </w:rPr>
        <w:t>临床检验已成为疾病诊断、预后判断、疗效评价及健康监测的重要手段，检验项目的参考区间则是疾病诊断和健康评估主要依据。参考区间因种族、性别、年龄、生长发育等因素的差异不同。</w:t>
      </w:r>
    </w:p>
    <w:p w:rsidR="002D716A" w:rsidRDefault="000B024E">
      <w:pPr>
        <w:snapToGrid w:val="0"/>
        <w:spacing w:line="288" w:lineRule="auto"/>
        <w:ind w:firstLineChars="200" w:firstLine="560"/>
        <w:rPr>
          <w:rFonts w:asciiTheme="minorEastAsia" w:eastAsiaTheme="minorEastAsia" w:hAnsiTheme="minorEastAsia" w:cs="楷体_GB2312"/>
          <w:sz w:val="28"/>
          <w:szCs w:val="28"/>
        </w:rPr>
      </w:pPr>
      <w:r>
        <w:rPr>
          <w:rFonts w:asciiTheme="minorEastAsia" w:eastAsiaTheme="minorEastAsia" w:hAnsiTheme="minorEastAsia" w:cs="楷体_GB2312" w:hint="eastAsia"/>
          <w:sz w:val="28"/>
          <w:szCs w:val="28"/>
        </w:rPr>
        <w:t>多年来一直没有针对中国人群参考区间的系统研究。我国目前临床应用的检验项目参考区间多基于二三十年前国外人群研究结果。</w:t>
      </w:r>
      <w:r w:rsidR="00AB67DB">
        <w:rPr>
          <w:rFonts w:asciiTheme="minorEastAsia" w:eastAsiaTheme="minorEastAsia" w:hAnsiTheme="minorEastAsia" w:cs="楷体_GB2312" w:hint="eastAsia"/>
          <w:sz w:val="28"/>
          <w:szCs w:val="28"/>
        </w:rPr>
        <w:t>血细胞分析项目是临床最常用的检测指标</w:t>
      </w:r>
      <w:r w:rsidR="00F579BF" w:rsidRPr="007866D0">
        <w:rPr>
          <w:rFonts w:asciiTheme="minorEastAsia" w:eastAsiaTheme="minorEastAsia" w:hAnsiTheme="minorEastAsia" w:cs="楷体_GB2312" w:hint="eastAsia"/>
          <w:sz w:val="28"/>
          <w:szCs w:val="28"/>
        </w:rPr>
        <w:t>，建立基于中国人群的</w:t>
      </w:r>
      <w:r w:rsidR="00AB67DB" w:rsidRPr="007866D0">
        <w:rPr>
          <w:rFonts w:asciiTheme="minorEastAsia" w:eastAsiaTheme="minorEastAsia" w:hAnsiTheme="minorEastAsia" w:cs="楷体_GB2312" w:hint="eastAsia"/>
          <w:sz w:val="28"/>
          <w:szCs w:val="28"/>
        </w:rPr>
        <w:t>血细胞</w:t>
      </w:r>
      <w:r w:rsidR="00F579BF" w:rsidRPr="007866D0">
        <w:rPr>
          <w:rFonts w:asciiTheme="minorEastAsia" w:eastAsiaTheme="minorEastAsia" w:hAnsiTheme="minorEastAsia" w:cs="楷体_GB2312" w:hint="eastAsia"/>
          <w:sz w:val="28"/>
          <w:szCs w:val="28"/>
        </w:rPr>
        <w:t>项目参考区间，对于提高医疗质量，有效利用医疗卫生资源具有非常重要的意义。</w:t>
      </w:r>
    </w:p>
    <w:p w:rsidR="007866D0" w:rsidRDefault="007866D0">
      <w:pPr>
        <w:snapToGrid w:val="0"/>
        <w:spacing w:line="288" w:lineRule="auto"/>
        <w:ind w:firstLineChars="200" w:firstLine="560"/>
        <w:rPr>
          <w:rFonts w:asciiTheme="minorEastAsia" w:eastAsiaTheme="minorEastAsia" w:hAnsiTheme="minorEastAsia" w:cs="楷体_GB2312" w:hint="eastAsia"/>
          <w:sz w:val="28"/>
          <w:szCs w:val="28"/>
        </w:rPr>
      </w:pPr>
    </w:p>
    <w:p w:rsidR="007866D0" w:rsidRDefault="007866D0" w:rsidP="007866D0">
      <w:pPr>
        <w:snapToGrid w:val="0"/>
        <w:spacing w:line="288" w:lineRule="auto"/>
        <w:rPr>
          <w:rFonts w:asciiTheme="minorEastAsia" w:eastAsiaTheme="minorEastAsia" w:hAnsiTheme="minorEastAsia" w:cs="楷体_GB2312"/>
          <w:b/>
          <w:bCs/>
          <w:sz w:val="28"/>
          <w:szCs w:val="28"/>
        </w:rPr>
      </w:pPr>
      <w:r>
        <w:rPr>
          <w:rFonts w:asciiTheme="minorEastAsia" w:eastAsiaTheme="minorEastAsia" w:hAnsiTheme="minorEastAsia" w:cs="楷体_GB2312" w:hint="eastAsia"/>
          <w:b/>
          <w:bCs/>
          <w:sz w:val="28"/>
          <w:szCs w:val="28"/>
        </w:rPr>
        <w:t>二、行业标准的制定依据</w:t>
      </w:r>
    </w:p>
    <w:p w:rsidR="007866D0" w:rsidRDefault="007866D0" w:rsidP="007866D0">
      <w:pPr>
        <w:snapToGrid w:val="0"/>
        <w:spacing w:line="288" w:lineRule="auto"/>
        <w:ind w:firstLine="564"/>
        <w:rPr>
          <w:rFonts w:asciiTheme="minorEastAsia" w:eastAsiaTheme="minorEastAsia" w:hAnsiTheme="minorEastAsia" w:cs="楷体_GB2312"/>
          <w:sz w:val="28"/>
          <w:szCs w:val="28"/>
        </w:rPr>
      </w:pPr>
      <w:r>
        <w:rPr>
          <w:rFonts w:ascii="宋体" w:hAnsi="宋体" w:cs="楷体_GB2312" w:hint="eastAsia"/>
          <w:sz w:val="28"/>
          <w:szCs w:val="28"/>
        </w:rPr>
        <w:t>本部分主要参照临床和检验标准化委员会 (CLSI)颁布的指南性文件</w:t>
      </w:r>
      <w:r>
        <w:rPr>
          <w:rFonts w:ascii="Times New Roman" w:hAnsi="宋体" w:hint="eastAsia"/>
          <w:sz w:val="28"/>
          <w:szCs w:val="28"/>
        </w:rPr>
        <w:t>C</w:t>
      </w:r>
      <w:r>
        <w:rPr>
          <w:rFonts w:ascii="Times New Roman" w:hAnsi="宋体"/>
          <w:sz w:val="28"/>
          <w:szCs w:val="28"/>
        </w:rPr>
        <w:t>28-A3</w:t>
      </w:r>
      <w:r>
        <w:rPr>
          <w:rFonts w:ascii="宋体" w:hAnsi="宋体" w:cs="楷体_GB2312" w:hint="eastAsia"/>
          <w:sz w:val="28"/>
          <w:szCs w:val="28"/>
        </w:rPr>
        <w:t>执行。</w:t>
      </w:r>
      <w:r>
        <w:rPr>
          <w:rFonts w:asciiTheme="minorEastAsia" w:eastAsiaTheme="minorEastAsia" w:hAnsiTheme="minorEastAsia" w:cs="楷体_GB2312" w:hint="eastAsia"/>
          <w:sz w:val="28"/>
          <w:szCs w:val="28"/>
        </w:rPr>
        <w:t>标准的制定是基于卫计委项目“中国人群重要常规临床检验项目参考区间的建立”的全国多中心研究结果，兼顾城和农村，经济发达与不发达地区，保证人群具有足够的代表性，共调查18000人。经过疾病史调查、体格检查、实验室筛查获得入组参考个体，</w:t>
      </w:r>
      <w:r>
        <w:rPr>
          <w:rFonts w:ascii="宋体" w:hAnsi="宋体" w:cs="楷体_GB2312" w:hint="eastAsia"/>
          <w:sz w:val="28"/>
          <w:szCs w:val="28"/>
        </w:rPr>
        <w:t>使用非参数方法建立参考区间</w:t>
      </w:r>
      <w:r>
        <w:rPr>
          <w:rFonts w:asciiTheme="minorEastAsia" w:eastAsiaTheme="minorEastAsia" w:hAnsiTheme="minorEastAsia" w:cs="楷体_GB2312" w:hint="eastAsia"/>
          <w:sz w:val="28"/>
          <w:szCs w:val="28"/>
        </w:rPr>
        <w:t>。本部分所列参考区间基于我国大样本人群和可溯源/多系统的检验结果，适用我国多数地区和各主要检测系统。</w:t>
      </w:r>
    </w:p>
    <w:p w:rsidR="007866D0" w:rsidRDefault="007866D0" w:rsidP="007866D0">
      <w:pPr>
        <w:snapToGrid w:val="0"/>
        <w:spacing w:line="288" w:lineRule="auto"/>
        <w:ind w:firstLine="564"/>
        <w:rPr>
          <w:rFonts w:asciiTheme="minorEastAsia" w:eastAsiaTheme="minorEastAsia" w:hAnsiTheme="minorEastAsia" w:cs="楷体_GB2312" w:hint="eastAsia"/>
          <w:sz w:val="28"/>
          <w:szCs w:val="28"/>
        </w:rPr>
      </w:pPr>
      <w:bookmarkStart w:id="0" w:name="_GoBack"/>
      <w:bookmarkEnd w:id="0"/>
    </w:p>
    <w:p w:rsidR="00427771" w:rsidRDefault="00427771" w:rsidP="00427771">
      <w:pPr>
        <w:snapToGrid w:val="0"/>
        <w:spacing w:line="288" w:lineRule="auto"/>
        <w:rPr>
          <w:rFonts w:asciiTheme="minorEastAsia" w:eastAsiaTheme="minorEastAsia" w:hAnsiTheme="minorEastAsia" w:cs="楷体_GB2312"/>
          <w:b/>
          <w:bCs/>
          <w:sz w:val="28"/>
          <w:szCs w:val="28"/>
        </w:rPr>
      </w:pPr>
      <w:r>
        <w:rPr>
          <w:rFonts w:hint="eastAsia"/>
          <w:b/>
          <w:sz w:val="28"/>
          <w:szCs w:val="28"/>
        </w:rPr>
        <w:t>三、行业标准</w:t>
      </w:r>
      <w:r>
        <w:rPr>
          <w:rFonts w:asciiTheme="minorEastAsia" w:eastAsiaTheme="minorEastAsia" w:hAnsiTheme="minorEastAsia" w:cs="楷体_GB2312" w:hint="eastAsia"/>
          <w:b/>
          <w:bCs/>
          <w:sz w:val="28"/>
          <w:szCs w:val="28"/>
        </w:rPr>
        <w:t>的</w:t>
      </w:r>
      <w:r w:rsidR="007866D0">
        <w:rPr>
          <w:rFonts w:asciiTheme="minorEastAsia" w:eastAsiaTheme="minorEastAsia" w:hAnsiTheme="minorEastAsia" w:cs="楷体_GB2312" w:hint="eastAsia"/>
          <w:b/>
          <w:bCs/>
          <w:sz w:val="28"/>
          <w:szCs w:val="28"/>
        </w:rPr>
        <w:t>意见</w:t>
      </w:r>
      <w:r>
        <w:rPr>
          <w:rFonts w:asciiTheme="minorEastAsia" w:eastAsiaTheme="minorEastAsia" w:hAnsiTheme="minorEastAsia" w:cs="楷体_GB2312" w:hint="eastAsia"/>
          <w:b/>
          <w:bCs/>
          <w:sz w:val="28"/>
          <w:szCs w:val="28"/>
        </w:rPr>
        <w:t>征求情况</w:t>
      </w:r>
    </w:p>
    <w:p w:rsidR="002D716A" w:rsidRDefault="000B024E" w:rsidP="00F579BF">
      <w:pPr>
        <w:snapToGrid w:val="0"/>
        <w:spacing w:line="288" w:lineRule="auto"/>
        <w:ind w:firstLineChars="100" w:firstLine="280"/>
        <w:rPr>
          <w:rFonts w:asciiTheme="minorEastAsia" w:eastAsiaTheme="minorEastAsia" w:hAnsiTheme="minorEastAsia" w:cs="楷体_GB2312"/>
          <w:sz w:val="28"/>
          <w:szCs w:val="28"/>
        </w:rPr>
      </w:pPr>
      <w:r>
        <w:rPr>
          <w:rFonts w:ascii="宋体" w:hAnsi="宋体" w:cs="楷体_GB2312" w:hint="eastAsia"/>
          <w:sz w:val="28"/>
          <w:szCs w:val="28"/>
        </w:rPr>
        <w:t xml:space="preserve">  中国医科大学附属第一医院</w:t>
      </w:r>
      <w:r>
        <w:rPr>
          <w:rFonts w:asciiTheme="minorEastAsia" w:eastAsiaTheme="minorEastAsia" w:hAnsiTheme="minorEastAsia" w:cs="楷体_GB2312" w:hint="eastAsia"/>
          <w:sz w:val="28"/>
          <w:szCs w:val="28"/>
        </w:rPr>
        <w:t>、北京医院、</w:t>
      </w:r>
      <w:r>
        <w:rPr>
          <w:rFonts w:ascii="宋体" w:hAnsi="宋体" w:cs="楷体_GB2312" w:hint="eastAsia"/>
          <w:sz w:val="28"/>
          <w:szCs w:val="28"/>
        </w:rPr>
        <w:t>北京大学第三医院、复旦大学附属中山医院、四川大学华西医院、中国人民解放军第四军医大学附属第一医院、广东省中医院等</w:t>
      </w:r>
      <w:r>
        <w:rPr>
          <w:rFonts w:asciiTheme="minorEastAsia" w:eastAsiaTheme="minorEastAsia" w:hAnsiTheme="minorEastAsia" w:cs="楷体_GB2312" w:hint="eastAsia"/>
          <w:sz w:val="28"/>
          <w:szCs w:val="28"/>
        </w:rPr>
        <w:t>单位</w:t>
      </w:r>
      <w:r>
        <w:rPr>
          <w:rFonts w:ascii="宋体" w:hAnsi="宋体" w:cs="楷体_GB2312" w:hint="eastAsia"/>
          <w:sz w:val="28"/>
          <w:szCs w:val="28"/>
        </w:rPr>
        <w:t>参与本部分制订。</w:t>
      </w:r>
      <w:r>
        <w:rPr>
          <w:rFonts w:asciiTheme="minorEastAsia" w:eastAsiaTheme="minorEastAsia" w:hAnsiTheme="minorEastAsia" w:cs="楷体_GB2312" w:hint="eastAsia"/>
          <w:sz w:val="28"/>
          <w:szCs w:val="28"/>
        </w:rPr>
        <w:t>共征求</w:t>
      </w:r>
      <w:r w:rsidR="00632E8F">
        <w:rPr>
          <w:rFonts w:asciiTheme="minorEastAsia" w:eastAsiaTheme="minorEastAsia" w:hAnsiTheme="minorEastAsia" w:cs="楷体_GB2312" w:hint="eastAsia"/>
          <w:sz w:val="28"/>
          <w:szCs w:val="28"/>
        </w:rPr>
        <w:t>1</w:t>
      </w:r>
      <w:r w:rsidR="00AB67DB">
        <w:rPr>
          <w:rFonts w:asciiTheme="minorEastAsia" w:eastAsiaTheme="minorEastAsia" w:hAnsiTheme="minorEastAsia" w:cs="楷体_GB2312" w:hint="eastAsia"/>
          <w:sz w:val="28"/>
          <w:szCs w:val="28"/>
        </w:rPr>
        <w:t>2</w:t>
      </w:r>
      <w:r>
        <w:rPr>
          <w:rFonts w:ascii="宋体" w:hAnsi="宋体" w:cs="楷体_GB2312" w:hint="eastAsia"/>
          <w:sz w:val="28"/>
          <w:szCs w:val="28"/>
        </w:rPr>
        <w:t>位检验及临床专家，</w:t>
      </w:r>
      <w:r>
        <w:rPr>
          <w:rFonts w:asciiTheme="minorEastAsia" w:eastAsiaTheme="minorEastAsia" w:hAnsiTheme="minorEastAsia" w:cs="楷体_GB2312" w:hint="eastAsia"/>
          <w:sz w:val="28"/>
          <w:szCs w:val="28"/>
        </w:rPr>
        <w:t>收到</w:t>
      </w:r>
      <w:r w:rsidR="00AB67DB">
        <w:rPr>
          <w:rFonts w:asciiTheme="minorEastAsia" w:eastAsiaTheme="minorEastAsia" w:hAnsiTheme="minorEastAsia" w:cs="楷体_GB2312" w:hint="eastAsia"/>
          <w:sz w:val="28"/>
          <w:szCs w:val="28"/>
        </w:rPr>
        <w:t>19</w:t>
      </w:r>
      <w:r>
        <w:rPr>
          <w:rFonts w:asciiTheme="minorEastAsia" w:eastAsiaTheme="minorEastAsia" w:hAnsiTheme="minorEastAsia" w:cs="楷体_GB2312" w:hint="eastAsia"/>
          <w:sz w:val="28"/>
          <w:szCs w:val="28"/>
        </w:rPr>
        <w:t>条意见，征集</w:t>
      </w:r>
      <w:r>
        <w:rPr>
          <w:rFonts w:ascii="宋体" w:hAnsi="宋体" w:cs="楷体_GB2312" w:hint="eastAsia"/>
          <w:sz w:val="28"/>
          <w:szCs w:val="28"/>
        </w:rPr>
        <w:t>过程中专家意见无重大分歧。</w:t>
      </w:r>
    </w:p>
    <w:sectPr w:rsidR="002D716A">
      <w:pgSz w:w="11906" w:h="16838"/>
      <w:pgMar w:top="1304" w:right="1800" w:bottom="1304"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88" w:rsidRDefault="00ED5988" w:rsidP="007866D0">
      <w:r>
        <w:separator/>
      </w:r>
    </w:p>
  </w:endnote>
  <w:endnote w:type="continuationSeparator" w:id="0">
    <w:p w:rsidR="00ED5988" w:rsidRDefault="00ED5988" w:rsidP="007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88" w:rsidRDefault="00ED5988" w:rsidP="007866D0">
      <w:r>
        <w:separator/>
      </w:r>
    </w:p>
  </w:footnote>
  <w:footnote w:type="continuationSeparator" w:id="0">
    <w:p w:rsidR="00ED5988" w:rsidRDefault="00ED5988" w:rsidP="00786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42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653C6"/>
    <w:rsid w:val="00087F94"/>
    <w:rsid w:val="000A4146"/>
    <w:rsid w:val="000B024E"/>
    <w:rsid w:val="00172A27"/>
    <w:rsid w:val="001A539D"/>
    <w:rsid w:val="001A742D"/>
    <w:rsid w:val="002009EE"/>
    <w:rsid w:val="002455AB"/>
    <w:rsid w:val="00292687"/>
    <w:rsid w:val="00295C96"/>
    <w:rsid w:val="002D716A"/>
    <w:rsid w:val="0035122D"/>
    <w:rsid w:val="003733AB"/>
    <w:rsid w:val="004227E4"/>
    <w:rsid w:val="00427771"/>
    <w:rsid w:val="00462952"/>
    <w:rsid w:val="004720DE"/>
    <w:rsid w:val="004D081D"/>
    <w:rsid w:val="004D1E27"/>
    <w:rsid w:val="005010B8"/>
    <w:rsid w:val="0052374A"/>
    <w:rsid w:val="00547646"/>
    <w:rsid w:val="00572E86"/>
    <w:rsid w:val="00594C63"/>
    <w:rsid w:val="00594DC5"/>
    <w:rsid w:val="005B4087"/>
    <w:rsid w:val="005E69D1"/>
    <w:rsid w:val="00614B92"/>
    <w:rsid w:val="00632E8F"/>
    <w:rsid w:val="0065254A"/>
    <w:rsid w:val="00665422"/>
    <w:rsid w:val="00666CFB"/>
    <w:rsid w:val="00677BAB"/>
    <w:rsid w:val="006A283D"/>
    <w:rsid w:val="006A396B"/>
    <w:rsid w:val="006A60C4"/>
    <w:rsid w:val="006B3E39"/>
    <w:rsid w:val="006E2C62"/>
    <w:rsid w:val="006E551A"/>
    <w:rsid w:val="00741C53"/>
    <w:rsid w:val="007656ED"/>
    <w:rsid w:val="007866D0"/>
    <w:rsid w:val="007A1BD1"/>
    <w:rsid w:val="008550F5"/>
    <w:rsid w:val="00893CEE"/>
    <w:rsid w:val="008A7714"/>
    <w:rsid w:val="008F5284"/>
    <w:rsid w:val="009020C8"/>
    <w:rsid w:val="00911086"/>
    <w:rsid w:val="00920566"/>
    <w:rsid w:val="00946B2F"/>
    <w:rsid w:val="00A00BDF"/>
    <w:rsid w:val="00A03AC2"/>
    <w:rsid w:val="00A778CB"/>
    <w:rsid w:val="00A9708C"/>
    <w:rsid w:val="00AB5B33"/>
    <w:rsid w:val="00AB67DB"/>
    <w:rsid w:val="00AD0784"/>
    <w:rsid w:val="00B01E5D"/>
    <w:rsid w:val="00B67C85"/>
    <w:rsid w:val="00B90C8E"/>
    <w:rsid w:val="00BB5118"/>
    <w:rsid w:val="00BD7741"/>
    <w:rsid w:val="00C231F7"/>
    <w:rsid w:val="00C73462"/>
    <w:rsid w:val="00C95403"/>
    <w:rsid w:val="00CA6312"/>
    <w:rsid w:val="00CC7E64"/>
    <w:rsid w:val="00D41D2C"/>
    <w:rsid w:val="00D559D4"/>
    <w:rsid w:val="00D90997"/>
    <w:rsid w:val="00DC3110"/>
    <w:rsid w:val="00E107CD"/>
    <w:rsid w:val="00E7045B"/>
    <w:rsid w:val="00EB0079"/>
    <w:rsid w:val="00EB73B3"/>
    <w:rsid w:val="00ED5988"/>
    <w:rsid w:val="00EE0312"/>
    <w:rsid w:val="00EE7514"/>
    <w:rsid w:val="00F579BF"/>
    <w:rsid w:val="00FF05EF"/>
    <w:rsid w:val="05C4679A"/>
    <w:rsid w:val="58871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5C4D8"/>
  <w15:docId w15:val="{51AABE41-2CBE-420B-8B66-A1139350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kern w:val="2"/>
      <w:sz w:val="21"/>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qFormat/>
    <w:pPr>
      <w:tabs>
        <w:tab w:val="center" w:pos="4153"/>
        <w:tab w:val="right" w:pos="8306"/>
      </w:tabs>
      <w:snapToGrid w:val="0"/>
      <w:jc w:val="left"/>
    </w:pPr>
    <w:rPr>
      <w:sz w:val="18"/>
      <w:szCs w:val="18"/>
    </w:rPr>
  </w:style>
  <w:style w:type="paragraph" w:styleId="ab">
    <w:name w:val="header"/>
    <w:basedOn w:val="a5"/>
    <w:link w:val="ac"/>
    <w:qFormat/>
    <w:pPr>
      <w:pBdr>
        <w:bottom w:val="single" w:sz="6" w:space="1" w:color="auto"/>
      </w:pBdr>
      <w:tabs>
        <w:tab w:val="center" w:pos="4153"/>
        <w:tab w:val="right" w:pos="8306"/>
      </w:tabs>
      <w:snapToGrid w:val="0"/>
      <w:jc w:val="center"/>
    </w:pPr>
    <w:rPr>
      <w:sz w:val="18"/>
      <w:szCs w:val="18"/>
    </w:rPr>
  </w:style>
  <w:style w:type="character" w:customStyle="1" w:styleId="aa">
    <w:name w:val="页脚 字符"/>
    <w:basedOn w:val="a6"/>
    <w:link w:val="a9"/>
    <w:qFormat/>
    <w:rPr>
      <w:sz w:val="18"/>
      <w:szCs w:val="18"/>
    </w:rPr>
  </w:style>
  <w:style w:type="character" w:customStyle="1" w:styleId="ac">
    <w:name w:val="页眉 字符"/>
    <w:basedOn w:val="a6"/>
    <w:link w:val="ab"/>
    <w:qFormat/>
    <w:rPr>
      <w:sz w:val="18"/>
      <w:szCs w:val="18"/>
    </w:rPr>
  </w:style>
  <w:style w:type="paragraph" w:customStyle="1" w:styleId="1">
    <w:name w:val="列出段落1"/>
    <w:basedOn w:val="a5"/>
    <w:qFormat/>
    <w:pPr>
      <w:ind w:firstLineChars="200" w:firstLine="420"/>
    </w:pPr>
  </w:style>
  <w:style w:type="paragraph" w:customStyle="1" w:styleId="CharCharCharCharCharCharCharCharCharCharCharCharCharChar">
    <w:name w:val="Char Char Char Char Char Char Char Char Char Char Char Char Char Char"/>
    <w:basedOn w:val="a5"/>
    <w:qFormat/>
    <w:pPr>
      <w:ind w:left="720" w:hanging="720"/>
    </w:pPr>
    <w:rPr>
      <w:rFonts w:ascii="Times New Roman" w:hAnsi="Times New Roman"/>
      <w:sz w:val="24"/>
      <w:szCs w:val="24"/>
    </w:rPr>
  </w:style>
  <w:style w:type="paragraph" w:customStyle="1" w:styleId="a0">
    <w:name w:val="一级条标题"/>
    <w:next w:val="a5"/>
    <w:qFormat/>
    <w:pPr>
      <w:numPr>
        <w:ilvl w:val="1"/>
        <w:numId w:val="1"/>
      </w:numPr>
      <w:spacing w:beforeLines="50" w:afterLines="50"/>
      <w:outlineLvl w:val="2"/>
    </w:pPr>
    <w:rPr>
      <w:rFonts w:ascii="黑体" w:eastAsia="黑体" w:hAnsi="Times New Roman"/>
      <w:sz w:val="21"/>
      <w:szCs w:val="21"/>
    </w:rPr>
  </w:style>
  <w:style w:type="paragraph" w:customStyle="1" w:styleId="a">
    <w:name w:val="章标题"/>
    <w:next w:val="a5"/>
    <w:qFormat/>
    <w:pPr>
      <w:numPr>
        <w:numId w:val="1"/>
      </w:numPr>
      <w:spacing w:beforeLines="100" w:afterLines="100"/>
      <w:jc w:val="both"/>
      <w:outlineLvl w:val="1"/>
    </w:pPr>
    <w:rPr>
      <w:rFonts w:ascii="黑体" w:eastAsia="黑体" w:hAnsi="Times New Roman"/>
      <w:sz w:val="21"/>
    </w:rPr>
  </w:style>
  <w:style w:type="paragraph" w:customStyle="1" w:styleId="a1">
    <w:name w:val="二级条标题"/>
    <w:basedOn w:val="a0"/>
    <w:next w:val="a5"/>
    <w:qFormat/>
    <w:pPr>
      <w:numPr>
        <w:ilvl w:val="2"/>
      </w:numPr>
      <w:spacing w:before="50" w:after="50"/>
      <w:outlineLvl w:val="3"/>
    </w:pPr>
  </w:style>
  <w:style w:type="paragraph" w:customStyle="1" w:styleId="a2">
    <w:name w:val="三级条标题"/>
    <w:basedOn w:val="a1"/>
    <w:next w:val="a5"/>
    <w:qFormat/>
    <w:pPr>
      <w:numPr>
        <w:ilvl w:val="3"/>
      </w:numPr>
      <w:outlineLvl w:val="4"/>
    </w:pPr>
  </w:style>
  <w:style w:type="paragraph" w:customStyle="1" w:styleId="a3">
    <w:name w:val="四级条标题"/>
    <w:basedOn w:val="a2"/>
    <w:next w:val="a5"/>
    <w:qFormat/>
    <w:pPr>
      <w:numPr>
        <w:ilvl w:val="4"/>
      </w:numPr>
      <w:outlineLvl w:val="5"/>
    </w:pPr>
  </w:style>
  <w:style w:type="paragraph" w:customStyle="1" w:styleId="a4">
    <w:name w:val="五级条标题"/>
    <w:basedOn w:val="a3"/>
    <w:next w:val="a5"/>
    <w:qFormat/>
    <w:pPr>
      <w:numPr>
        <w:ilvl w:val="5"/>
      </w:numPr>
      <w:outlineLvl w:val="6"/>
    </w:pPr>
  </w:style>
  <w:style w:type="character" w:customStyle="1" w:styleId="font41">
    <w:name w:val="font41"/>
    <w:qFormat/>
    <w:rPr>
      <w:rFonts w:ascii="Arial" w:hAnsi="Arial" w:cs="Arial"/>
      <w:color w:val="000000"/>
      <w:sz w:val="22"/>
      <w:szCs w:val="22"/>
      <w:u w:val="none"/>
    </w:rPr>
  </w:style>
  <w:style w:type="character" w:customStyle="1" w:styleId="font11">
    <w:name w:val="font11"/>
    <w:qFormat/>
    <w:rPr>
      <w:rFonts w:ascii="宋体" w:eastAsia="宋体" w:hAnsi="宋体" w:cs="宋体" w:hint="eastAsia"/>
      <w:color w:val="000000"/>
      <w:sz w:val="22"/>
      <w:szCs w:val="22"/>
      <w:u w:val="none"/>
    </w:rPr>
  </w:style>
  <w:style w:type="paragraph" w:customStyle="1" w:styleId="ad">
    <w:name w:val="段"/>
    <w:link w:val="Char"/>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
    <w:name w:val="段 Char"/>
    <w:link w:val="ad"/>
    <w:qFormat/>
    <w:rPr>
      <w:rFonts w:ascii="宋体" w:hAnsi="Times New Roman"/>
      <w:sz w:val="21"/>
    </w:rPr>
  </w:style>
  <w:style w:type="paragraph" w:styleId="ae">
    <w:name w:val="Balloon Text"/>
    <w:basedOn w:val="a5"/>
    <w:link w:val="af"/>
    <w:uiPriority w:val="99"/>
    <w:semiHidden/>
    <w:unhideWhenUsed/>
    <w:rsid w:val="00427771"/>
    <w:rPr>
      <w:sz w:val="18"/>
      <w:szCs w:val="18"/>
    </w:rPr>
  </w:style>
  <w:style w:type="character" w:customStyle="1" w:styleId="af">
    <w:name w:val="批注框文本 字符"/>
    <w:basedOn w:val="a6"/>
    <w:link w:val="ae"/>
    <w:uiPriority w:val="99"/>
    <w:semiHidden/>
    <w:rsid w:val="004277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93</Words>
  <Characters>532</Characters>
  <Application>Microsoft Office Word</Application>
  <DocSecurity>0</DocSecurity>
  <Lines>4</Lines>
  <Paragraphs>1</Paragraphs>
  <ScaleCrop>false</ScaleCrop>
  <Company>微软中国</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标准解读 提纲：</dc:title>
  <dc:creator>微软系统</dc:creator>
  <cp:lastModifiedBy>runqing mu</cp:lastModifiedBy>
  <cp:revision>53</cp:revision>
  <dcterms:created xsi:type="dcterms:W3CDTF">2013-05-13T02:43:00Z</dcterms:created>
  <dcterms:modified xsi:type="dcterms:W3CDTF">2017-10-24T06:07:00Z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